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BFC08" w14:textId="2273E3D2" w:rsidR="0075781F" w:rsidRPr="0070435A" w:rsidRDefault="0075781F" w:rsidP="00E06BDE">
      <w:pPr>
        <w:spacing w:after="0" w:line="360" w:lineRule="auto"/>
        <w:jc w:val="center"/>
        <w:rPr>
          <w:rFonts w:ascii="Times New Roman" w:eastAsia="Times New Roman" w:hAnsi="Times New Roman" w:cs="Times New Roman"/>
          <w:b/>
          <w:bCs/>
          <w:color w:val="000000"/>
          <w:sz w:val="24"/>
          <w:szCs w:val="24"/>
          <w:shd w:val="clear" w:color="auto" w:fill="FFFFFF"/>
        </w:rPr>
      </w:pPr>
      <w:r w:rsidRPr="0070435A">
        <w:rPr>
          <w:rFonts w:ascii="Times New Roman" w:eastAsia="Times New Roman" w:hAnsi="Times New Roman" w:cs="Times New Roman"/>
          <w:b/>
          <w:bCs/>
          <w:color w:val="000000"/>
          <w:sz w:val="24"/>
          <w:szCs w:val="24"/>
          <w:shd w:val="clear" w:color="auto" w:fill="FFFFFF"/>
        </w:rPr>
        <w:t>BẢNG TIN CẬP NHẬT THUẾ THÁNG 05/2021</w:t>
      </w:r>
    </w:p>
    <w:p w14:paraId="073E1D62" w14:textId="77777777" w:rsidR="00B9337C" w:rsidRPr="0070435A" w:rsidRDefault="00B9337C" w:rsidP="00E06BDE">
      <w:pPr>
        <w:spacing w:after="0" w:line="360" w:lineRule="auto"/>
        <w:jc w:val="center"/>
        <w:rPr>
          <w:rFonts w:ascii="Times New Roman" w:eastAsia="Times New Roman" w:hAnsi="Times New Roman" w:cs="Times New Roman"/>
          <w:b/>
          <w:bCs/>
          <w:color w:val="000000"/>
          <w:sz w:val="24"/>
          <w:szCs w:val="24"/>
          <w:shd w:val="clear" w:color="auto" w:fill="FFFFFF"/>
        </w:rPr>
      </w:pPr>
      <w:r w:rsidRPr="0070435A">
        <w:rPr>
          <w:rFonts w:ascii="Times New Roman" w:eastAsia="Times New Roman" w:hAnsi="Times New Roman" w:cs="Times New Roman"/>
          <w:b/>
          <w:bCs/>
          <w:color w:val="000000"/>
          <w:sz w:val="24"/>
          <w:szCs w:val="24"/>
          <w:shd w:val="clear" w:color="auto" w:fill="FFFFFF"/>
        </w:rPr>
        <w:t xml:space="preserve">THÔNG TƯ 19 HƯỚNG DẪN VỀ GIAO DỊCH ĐIỆN TỬ </w:t>
      </w:r>
    </w:p>
    <w:p w14:paraId="56BEE934" w14:textId="6AA99821" w:rsidR="0075781F" w:rsidRPr="0070435A" w:rsidRDefault="00B9337C" w:rsidP="00E06BDE">
      <w:pPr>
        <w:spacing w:after="0" w:line="360" w:lineRule="auto"/>
        <w:jc w:val="center"/>
        <w:rPr>
          <w:rFonts w:ascii="Times New Roman" w:eastAsia="Times New Roman" w:hAnsi="Times New Roman" w:cs="Times New Roman"/>
          <w:b/>
          <w:bCs/>
          <w:color w:val="000000"/>
          <w:sz w:val="24"/>
          <w:szCs w:val="24"/>
          <w:shd w:val="clear" w:color="auto" w:fill="FFFFFF"/>
        </w:rPr>
      </w:pPr>
      <w:r w:rsidRPr="0070435A">
        <w:rPr>
          <w:rFonts w:ascii="Times New Roman" w:eastAsia="Times New Roman" w:hAnsi="Times New Roman" w:cs="Times New Roman"/>
          <w:b/>
          <w:bCs/>
          <w:color w:val="000000"/>
          <w:sz w:val="24"/>
          <w:szCs w:val="24"/>
          <w:shd w:val="clear" w:color="auto" w:fill="FFFFFF"/>
        </w:rPr>
        <w:t>TRONG LĨNH VỰC THUẾ</w:t>
      </w:r>
    </w:p>
    <w:p w14:paraId="2A5E3D07" w14:textId="3584F557" w:rsidR="00B9337C" w:rsidRPr="0070435A" w:rsidRDefault="00B9337C" w:rsidP="00E06BDE">
      <w:pPr>
        <w:shd w:val="clear" w:color="auto" w:fill="FFFFFF"/>
        <w:spacing w:before="150" w:after="150" w:line="360" w:lineRule="auto"/>
        <w:outlineLvl w:val="1"/>
        <w:rPr>
          <w:rFonts w:ascii="Times New Roman" w:eastAsia="Times New Roman" w:hAnsi="Times New Roman" w:cs="Times New Roman"/>
          <w:b/>
          <w:bCs/>
          <w:color w:val="5F5F5F"/>
          <w:sz w:val="24"/>
          <w:szCs w:val="24"/>
        </w:rPr>
      </w:pPr>
      <w:r w:rsidRPr="00B9337C">
        <w:rPr>
          <w:rFonts w:ascii="Times New Roman" w:eastAsia="Times New Roman" w:hAnsi="Times New Roman" w:cs="Times New Roman"/>
          <w:b/>
          <w:bCs/>
          <w:color w:val="5F5F5F"/>
          <w:sz w:val="24"/>
          <w:szCs w:val="24"/>
        </w:rPr>
        <w:t>Bộ Tài chính ban hành </w:t>
      </w:r>
      <w:hyperlink r:id="rId6" w:tgtFrame="_blank" w:history="1">
        <w:r w:rsidRPr="00B9337C">
          <w:rPr>
            <w:rFonts w:ascii="Times New Roman" w:eastAsia="Times New Roman" w:hAnsi="Times New Roman" w:cs="Times New Roman"/>
            <w:b/>
            <w:bCs/>
            <w:color w:val="026896"/>
            <w:sz w:val="24"/>
            <w:szCs w:val="24"/>
            <w:u w:val="single"/>
          </w:rPr>
          <w:t>Thông tư 19/2021/TT-BTC</w:t>
        </w:r>
      </w:hyperlink>
      <w:r w:rsidRPr="00B9337C">
        <w:rPr>
          <w:rFonts w:ascii="Times New Roman" w:eastAsia="Times New Roman" w:hAnsi="Times New Roman" w:cs="Times New Roman"/>
          <w:b/>
          <w:bCs/>
          <w:color w:val="5F5F5F"/>
          <w:sz w:val="24"/>
          <w:szCs w:val="24"/>
        </w:rPr>
        <w:t> ngày 18/3/2021 hướng dẫn giao dịch điện tử trong lĩnh vực thuế.</w:t>
      </w:r>
    </w:p>
    <w:p w14:paraId="2AAD3069" w14:textId="77777777" w:rsidR="00EF797E" w:rsidRPr="0070435A" w:rsidRDefault="00EF797E" w:rsidP="00E06BDE">
      <w:pPr>
        <w:pStyle w:val="oancuaDanhsach"/>
        <w:numPr>
          <w:ilvl w:val="0"/>
          <w:numId w:val="6"/>
        </w:numPr>
        <w:shd w:val="clear" w:color="auto" w:fill="FFFFFF"/>
        <w:spacing w:before="150" w:after="150" w:line="360" w:lineRule="auto"/>
        <w:outlineLvl w:val="1"/>
        <w:rPr>
          <w:rFonts w:ascii="Times New Roman" w:eastAsia="Times New Roman" w:hAnsi="Times New Roman" w:cs="Times New Roman"/>
          <w:b/>
          <w:bCs/>
          <w:color w:val="5F5F5F"/>
          <w:sz w:val="24"/>
          <w:szCs w:val="24"/>
        </w:rPr>
      </w:pPr>
      <w:r w:rsidRPr="0070435A">
        <w:rPr>
          <w:rFonts w:ascii="Times New Roman" w:eastAsia="Times New Roman" w:hAnsi="Times New Roman" w:cs="Times New Roman"/>
          <w:b/>
          <w:bCs/>
          <w:color w:val="5F5F5F"/>
          <w:sz w:val="24"/>
          <w:szCs w:val="24"/>
        </w:rPr>
        <w:t>Trong đó thông tư quy định, chứng từ thuế điện tử gồm có:</w:t>
      </w:r>
    </w:p>
    <w:p w14:paraId="48C4CFC4" w14:textId="39436F84" w:rsidR="00EF797E" w:rsidRPr="0070435A" w:rsidRDefault="00EF797E" w:rsidP="00E06BDE">
      <w:pPr>
        <w:pStyle w:val="oancuaDanhsach"/>
        <w:numPr>
          <w:ilvl w:val="0"/>
          <w:numId w:val="5"/>
        </w:numPr>
        <w:spacing w:line="360" w:lineRule="auto"/>
        <w:rPr>
          <w:rFonts w:ascii="Times New Roman" w:eastAsia="Times New Roman" w:hAnsi="Times New Roman" w:cs="Times New Roman"/>
          <w:color w:val="5F5F5F"/>
          <w:sz w:val="24"/>
          <w:szCs w:val="24"/>
        </w:rPr>
      </w:pPr>
      <w:r w:rsidRPr="0070435A">
        <w:rPr>
          <w:rFonts w:ascii="Times New Roman" w:eastAsia="Times New Roman" w:hAnsi="Times New Roman" w:cs="Times New Roman"/>
          <w:color w:val="5F5F5F"/>
          <w:sz w:val="24"/>
          <w:szCs w:val="24"/>
        </w:rPr>
        <w:t xml:space="preserve">Hồ sơ thuế điện tử: hồ sơ đăng ký thuế, hồ sơ khai thuế, </w:t>
      </w:r>
      <w:r w:rsidRPr="0070435A">
        <w:rPr>
          <w:rFonts w:ascii="Times New Roman" w:hAnsi="Times New Roman" w:cs="Times New Roman"/>
          <w:sz w:val="24"/>
          <w:szCs w:val="24"/>
        </w:rPr>
        <w:t xml:space="preserve">; </w:t>
      </w:r>
      <w:r w:rsidRPr="0070435A">
        <w:rPr>
          <w:rFonts w:ascii="Times New Roman" w:eastAsia="Times New Roman" w:hAnsi="Times New Roman" w:cs="Times New Roman"/>
          <w:color w:val="5F5F5F"/>
          <w:sz w:val="24"/>
          <w:szCs w:val="24"/>
        </w:rPr>
        <w:t>xác nhận việc thực hiện nghĩa vụ thuế; tra soát thông tin nộp thuế; thủ tục bù trừ tiền thuế, tiền chậm nộp, tiền phạt nộp thừa; hồ sơ hoàn thuế; hồ sơ miễn giảm thuế; miễn tiền chậm nộp; không tính tiền chậm nộp; hồ sơ khoanh tiền thuê nợ, hồ sơ xóa nợ tiền thuế, tiền chậm nộp, tiền phạt, gia hạn nộp thuế; nộp dần tiền thuế nợ và các hồ sơ, văn bản khác về thuế dưới dạng điện tử được quy định tại Luật Quản lý thuế và các văn bản hướng dẫn Luật Quản lý thuế;</w:t>
      </w:r>
    </w:p>
    <w:p w14:paraId="6B19E129" w14:textId="7068D10F" w:rsidR="00EF797E" w:rsidRPr="0070435A" w:rsidRDefault="00EF797E" w:rsidP="00E06BDE">
      <w:pPr>
        <w:pStyle w:val="oancuaDanhsach"/>
        <w:numPr>
          <w:ilvl w:val="0"/>
          <w:numId w:val="5"/>
        </w:numPr>
        <w:spacing w:line="360" w:lineRule="auto"/>
        <w:rPr>
          <w:rFonts w:ascii="Times New Roman" w:eastAsia="Times New Roman" w:hAnsi="Times New Roman" w:cs="Times New Roman"/>
          <w:color w:val="5F5F5F"/>
          <w:sz w:val="24"/>
          <w:szCs w:val="24"/>
        </w:rPr>
      </w:pPr>
      <w:r w:rsidRPr="0070435A">
        <w:rPr>
          <w:rFonts w:ascii="Times New Roman" w:eastAsia="Times New Roman" w:hAnsi="Times New Roman" w:cs="Times New Roman"/>
          <w:color w:val="5F5F5F"/>
          <w:sz w:val="24"/>
          <w:szCs w:val="24"/>
        </w:rPr>
        <w:t>Chứng từ nộp NSNN điện tử: chứng từ nộp NSNN theo quy định tại Nghị định 11/2020/NĐ-CP ngày 20/01/2020 về thủ tục hành chính thuộc lĩnh vực Kho bạc Nhà nước dưới dạng điện tử;</w:t>
      </w:r>
    </w:p>
    <w:p w14:paraId="0F083B94" w14:textId="77777777" w:rsidR="001D0E2F" w:rsidRPr="0070435A" w:rsidRDefault="00EF797E" w:rsidP="001D0E2F">
      <w:pPr>
        <w:pStyle w:val="oancuaDanhsach"/>
        <w:numPr>
          <w:ilvl w:val="0"/>
          <w:numId w:val="5"/>
        </w:numPr>
        <w:spacing w:line="360" w:lineRule="auto"/>
        <w:rPr>
          <w:rFonts w:ascii="Times New Roman" w:eastAsia="Times New Roman" w:hAnsi="Times New Roman" w:cs="Times New Roman"/>
          <w:color w:val="5F5F5F"/>
          <w:sz w:val="24"/>
          <w:szCs w:val="24"/>
        </w:rPr>
      </w:pPr>
      <w:r w:rsidRPr="0070435A">
        <w:rPr>
          <w:rFonts w:ascii="Times New Roman" w:eastAsia="Times New Roman" w:hAnsi="Times New Roman" w:cs="Times New Roman"/>
          <w:color w:val="5F5F5F"/>
          <w:sz w:val="24"/>
          <w:szCs w:val="24"/>
        </w:rPr>
        <w:t>Các thông báo, quyết định, văn bản khác của cơ quan thuế dưới dạng điện tử.</w:t>
      </w:r>
    </w:p>
    <w:p w14:paraId="56D0B6E9" w14:textId="7EE76B31" w:rsidR="001D0E2F" w:rsidRPr="0070435A" w:rsidRDefault="001D0E2F" w:rsidP="001D0E2F">
      <w:pPr>
        <w:pStyle w:val="ThngthngWeb"/>
        <w:shd w:val="clear" w:color="auto" w:fill="FFFFFF"/>
        <w:spacing w:before="0" w:beforeAutospacing="0" w:after="150" w:afterAutospacing="0" w:line="360" w:lineRule="auto"/>
        <w:ind w:firstLine="720"/>
        <w:rPr>
          <w:color w:val="333333"/>
        </w:rPr>
      </w:pPr>
      <w:r w:rsidRPr="0070435A">
        <w:rPr>
          <w:color w:val="333333"/>
        </w:rPr>
        <w:t>Chứng từ điện tử là thông tin được tạo ra, gửi đi, nhận và lưu trữ bằng phương thức điện tử khi người nộp thuế, cơ quan thuế, cơ quan, tổ chức, cá nhân khác có liên quan thực hiện giao dịch thuế điện tử.</w:t>
      </w:r>
    </w:p>
    <w:p w14:paraId="4B038346" w14:textId="77777777" w:rsidR="00B9337C" w:rsidRPr="0070435A" w:rsidRDefault="00B9337C" w:rsidP="00E06BDE">
      <w:pPr>
        <w:pStyle w:val="oancuaDanhsach"/>
        <w:numPr>
          <w:ilvl w:val="0"/>
          <w:numId w:val="6"/>
        </w:numPr>
        <w:shd w:val="clear" w:color="auto" w:fill="FFFFFF"/>
        <w:spacing w:before="150" w:after="150" w:line="360" w:lineRule="auto"/>
        <w:outlineLvl w:val="1"/>
        <w:rPr>
          <w:rFonts w:ascii="Times New Roman" w:hAnsi="Times New Roman" w:cs="Times New Roman"/>
          <w:color w:val="333333"/>
          <w:sz w:val="24"/>
          <w:szCs w:val="24"/>
        </w:rPr>
      </w:pPr>
      <w:r w:rsidRPr="0070435A">
        <w:rPr>
          <w:rStyle w:val="Manh"/>
          <w:rFonts w:ascii="Times New Roman" w:hAnsi="Times New Roman" w:cs="Times New Roman"/>
          <w:color w:val="333333"/>
          <w:sz w:val="24"/>
          <w:szCs w:val="24"/>
        </w:rPr>
        <w:t>Quy định chuyển tiếp</w:t>
      </w:r>
    </w:p>
    <w:p w14:paraId="60CFFD07" w14:textId="0FD52E69" w:rsidR="00B9337C" w:rsidRPr="0070435A" w:rsidRDefault="00B9337C" w:rsidP="00E06BDE">
      <w:pPr>
        <w:pStyle w:val="oancuaDanhsach"/>
        <w:numPr>
          <w:ilvl w:val="0"/>
          <w:numId w:val="7"/>
        </w:numPr>
        <w:spacing w:line="360" w:lineRule="auto"/>
        <w:rPr>
          <w:rFonts w:ascii="Times New Roman" w:hAnsi="Times New Roman" w:cs="Times New Roman"/>
          <w:color w:val="333333"/>
          <w:sz w:val="24"/>
          <w:szCs w:val="24"/>
        </w:rPr>
      </w:pPr>
      <w:r w:rsidRPr="0070435A">
        <w:rPr>
          <w:rFonts w:ascii="Times New Roman" w:hAnsi="Times New Roman" w:cs="Times New Roman"/>
          <w:color w:val="333333"/>
          <w:sz w:val="24"/>
          <w:szCs w:val="24"/>
        </w:rPr>
        <w:t>Người nộp thuế nộp hồ sơ, tài liệu khác liên quan đến các thủ tục hành chính thuế bằng phương thức điện tử theo lộ trình cải cách thủ tục hành chính của cơ quan thuế.</w:t>
      </w:r>
    </w:p>
    <w:p w14:paraId="262AE543" w14:textId="407080F7" w:rsidR="00B9337C" w:rsidRPr="0070435A" w:rsidRDefault="00B9337C" w:rsidP="00E06BDE">
      <w:pPr>
        <w:pStyle w:val="oancuaDanhsach"/>
        <w:numPr>
          <w:ilvl w:val="0"/>
          <w:numId w:val="7"/>
        </w:numPr>
        <w:spacing w:line="360" w:lineRule="auto"/>
        <w:rPr>
          <w:rFonts w:ascii="Times New Roman" w:hAnsi="Times New Roman" w:cs="Times New Roman"/>
          <w:color w:val="333333"/>
          <w:sz w:val="24"/>
          <w:szCs w:val="24"/>
        </w:rPr>
      </w:pPr>
      <w:r w:rsidRPr="0070435A">
        <w:rPr>
          <w:rFonts w:ascii="Times New Roman" w:hAnsi="Times New Roman" w:cs="Times New Roman"/>
          <w:color w:val="333333"/>
          <w:sz w:val="24"/>
          <w:szCs w:val="24"/>
        </w:rPr>
        <w:t>Trường hợp người nộp thuế đã thực hiện giao dịch thuế bằng phương thức điện tử trước thời điểm 03/5/2021 thì được chuyển tiếp để thực hiện các thủ tục hành chính khác bằng phương thức điện tử và khai bổ sung thông tin theo quy định tại Điều 11 Thông tư 19/2021. Người nộp thuế không phải đăng ký lại với cơ quan thuế theo quy định tại Điều 10 Thông tư 19/2021.</w:t>
      </w:r>
    </w:p>
    <w:p w14:paraId="56AA0E82" w14:textId="37D02579" w:rsidR="00B9337C" w:rsidRPr="0070435A" w:rsidRDefault="00B9337C" w:rsidP="00E06BDE">
      <w:pPr>
        <w:pStyle w:val="oancuaDanhsach"/>
        <w:numPr>
          <w:ilvl w:val="0"/>
          <w:numId w:val="7"/>
        </w:numPr>
        <w:spacing w:line="360" w:lineRule="auto"/>
        <w:rPr>
          <w:rFonts w:ascii="Times New Roman" w:hAnsi="Times New Roman" w:cs="Times New Roman"/>
          <w:color w:val="333333"/>
          <w:sz w:val="24"/>
          <w:szCs w:val="24"/>
        </w:rPr>
      </w:pPr>
      <w:r w:rsidRPr="0070435A">
        <w:rPr>
          <w:rFonts w:ascii="Times New Roman" w:hAnsi="Times New Roman" w:cs="Times New Roman"/>
          <w:color w:val="333333"/>
          <w:sz w:val="24"/>
          <w:szCs w:val="24"/>
        </w:rPr>
        <w:t xml:space="preserve">Tổ chức đã cung cấp dịch vụ T-VAN trước thời điểm 03/5/2021 được tiếp tục cung cấp dịch vụ T-VAN nêu vẫn đáp ứng các tiêu chuẩn kỹ thuật kết nối theo quy định tại Thông tư 19/2021; trường hợp không đáp ứng các tiêu chuẩn kỹ thuật kết nối theo quy định thì </w:t>
      </w:r>
      <w:r w:rsidRPr="0070435A">
        <w:rPr>
          <w:rFonts w:ascii="Times New Roman" w:hAnsi="Times New Roman" w:cs="Times New Roman"/>
          <w:color w:val="333333"/>
          <w:sz w:val="24"/>
          <w:szCs w:val="24"/>
        </w:rPr>
        <w:lastRenderedPageBreak/>
        <w:t>tổ chức cung cấp dịch vụ T-VAN gửi bổ sung thông tin, hồ sơ có liên quan đến Tổng cục Thuế theo quy định tại Thông tư 19/2021 để được xem xét ký thoả thuận bổ sung và phải hoàn thiện các tiêu chuẩn kỹ thuật theo quy định là 06 tháng kể từ ngày 03/5/2021.</w:t>
      </w:r>
    </w:p>
    <w:p w14:paraId="54FB82E4" w14:textId="70C95052" w:rsidR="00B9337C" w:rsidRPr="0070435A" w:rsidRDefault="00B9337C" w:rsidP="00E06BDE">
      <w:pPr>
        <w:pStyle w:val="oancuaDanhsach"/>
        <w:numPr>
          <w:ilvl w:val="0"/>
          <w:numId w:val="7"/>
        </w:numPr>
        <w:spacing w:line="360" w:lineRule="auto"/>
        <w:rPr>
          <w:rFonts w:ascii="Times New Roman" w:hAnsi="Times New Roman" w:cs="Times New Roman"/>
          <w:color w:val="333333"/>
          <w:sz w:val="24"/>
          <w:szCs w:val="24"/>
        </w:rPr>
      </w:pPr>
      <w:r w:rsidRPr="0070435A">
        <w:rPr>
          <w:rFonts w:ascii="Times New Roman" w:hAnsi="Times New Roman" w:cs="Times New Roman"/>
          <w:color w:val="333333"/>
          <w:sz w:val="24"/>
          <w:szCs w:val="24"/>
        </w:rPr>
        <w:t>Các ngân hàng đã ký thỏa thuận hợp tác phối hợp thu ngân sách nhà nước với Tổng cục Thuế (hoặc với Tổng cục Thuế và KBNN) trước thời điểm 03/5/2021 được tiếp tục thực hiện nếu vẫn đáp ứng các tiêu chuẩn kỹ thuật kết nối theo quy định tại Thông tư 19/2021; trường hợp không đáp ứng các tiêu chuẩn kỹ thuật kết nối theo quy định thì ngân hàng phải hoàn thiện và gửi bổ sung thông tin, hồ sơ có liên quan đến Tổng cục Thuế để được xem xét ký thỏa thuận bổ sung theo quy định.</w:t>
      </w:r>
    </w:p>
    <w:p w14:paraId="4FD953B9" w14:textId="491CB130" w:rsidR="00B9337C" w:rsidRPr="0070435A" w:rsidRDefault="00B9337C" w:rsidP="00E06BDE">
      <w:pPr>
        <w:pStyle w:val="oancuaDanhsach"/>
        <w:numPr>
          <w:ilvl w:val="0"/>
          <w:numId w:val="7"/>
        </w:numPr>
        <w:spacing w:line="360" w:lineRule="auto"/>
        <w:rPr>
          <w:rFonts w:ascii="Times New Roman" w:hAnsi="Times New Roman" w:cs="Times New Roman"/>
          <w:color w:val="333333"/>
          <w:sz w:val="24"/>
          <w:szCs w:val="24"/>
        </w:rPr>
      </w:pPr>
      <w:r w:rsidRPr="0070435A">
        <w:rPr>
          <w:rFonts w:ascii="Times New Roman" w:hAnsi="Times New Roman" w:cs="Times New Roman"/>
          <w:color w:val="333333"/>
          <w:sz w:val="24"/>
          <w:szCs w:val="24"/>
        </w:rPr>
        <w:t>Việc tổ chức thực hiện giao dịch điện tử theo quy định của Thông tư 19/2021 thực hiện theo lộ trình cải cách thủ tục hành chính của cơ quan thuế.</w:t>
      </w:r>
    </w:p>
    <w:p w14:paraId="5F6DB373" w14:textId="77777777" w:rsidR="00B9337C" w:rsidRPr="0070435A" w:rsidRDefault="00B9337C" w:rsidP="00E06BDE">
      <w:pPr>
        <w:pStyle w:val="ThngthngWeb"/>
        <w:shd w:val="clear" w:color="auto" w:fill="FFFFFF"/>
        <w:spacing w:before="0" w:beforeAutospacing="0" w:after="150" w:afterAutospacing="0" w:line="360" w:lineRule="auto"/>
        <w:ind w:firstLine="720"/>
        <w:rPr>
          <w:color w:val="333333"/>
        </w:rPr>
      </w:pPr>
      <w:r w:rsidRPr="0070435A">
        <w:rPr>
          <w:color w:val="333333"/>
        </w:rPr>
        <w:t>Việc triển khai truyền, nhận, hạch toán thông tin thu, nộp NSNN theo “mã tham chiếu” được thực hiện khi Tổng cục Thuế, Kho bạc Nhà nước, Ngân hàng nơi KBNN mở tài khoản, Ngân hàng/tổ chức cung ứng dịch vụ trung gian thanh toán có kết nối với Cổng thông tin điện tử của cơ quan thuế hoàn thành việc triển khai ứng dụng công nghệ thông tin đáp ứng theo quy định, đảm bảo đáp ứng yêu cầu hạch toán thu NSNN, trao đổi, đối chiếu và hạch toán thu NSNN của Kho bạc nhà nước, cơ quan thuế, ngân hàng/tổ chức cung ứng dịch vụ trung gian thanh toán.</w:t>
      </w:r>
    </w:p>
    <w:p w14:paraId="687CCA7F" w14:textId="126019D3" w:rsidR="0075781F" w:rsidRPr="0070435A" w:rsidRDefault="00B9337C" w:rsidP="00E06BDE">
      <w:pPr>
        <w:pStyle w:val="ThngthngWeb"/>
        <w:shd w:val="clear" w:color="auto" w:fill="FFFFFF"/>
        <w:spacing w:before="0" w:beforeAutospacing="0" w:after="150" w:afterAutospacing="0" w:line="360" w:lineRule="auto"/>
        <w:ind w:firstLine="720"/>
        <w:rPr>
          <w:b/>
          <w:bCs/>
          <w:color w:val="000000"/>
          <w:shd w:val="clear" w:color="auto" w:fill="FFFFFF"/>
        </w:rPr>
      </w:pPr>
      <w:r w:rsidRPr="0070435A">
        <w:rPr>
          <w:color w:val="333333"/>
        </w:rPr>
        <w:t>Trong thời gian Tổng cục Thuế, Kho bạc Nhà nước, Ngân hàng nơi KBNN mở tài khoản, Ngân hàng tổ chức cung ứng dịch vụ trung gian thanh toán có kết nối với Cổng thông tin điện tử của cơ quan thuế chưa triển khai ứng dụng công nghệ thông tin đáp ứng thì việc truyền, nhận, hạch toán thông tin thu, nộp NSNN vẫn thực hiện truyền đầy đủ các thông tin trực tiếp từ ngân hàng tổ chức cung ứng dịch vụ trung gian thanh toán đến ngân hàng nơi KBNN mở tài khoản và tới KBNN để đảm bảo đáp ứng được yêu cầu hạch toán thu NSNN của KBNN.</w:t>
      </w:r>
    </w:p>
    <w:p w14:paraId="061A48A6" w14:textId="14887BA5" w:rsidR="005C44F7" w:rsidRPr="0070435A" w:rsidRDefault="009C78BF" w:rsidP="00E06BDE">
      <w:pPr>
        <w:spacing w:line="360" w:lineRule="auto"/>
        <w:rPr>
          <w:rFonts w:ascii="Times New Roman" w:hAnsi="Times New Roman" w:cs="Times New Roman"/>
          <w:color w:val="333333"/>
          <w:sz w:val="24"/>
          <w:szCs w:val="24"/>
          <w:shd w:val="clear" w:color="auto" w:fill="FFFFFF"/>
        </w:rPr>
      </w:pPr>
      <w:hyperlink r:id="rId7" w:tgtFrame="_blank" w:history="1">
        <w:r w:rsidR="00B9337C" w:rsidRPr="0070435A">
          <w:rPr>
            <w:rStyle w:val="Siuktni"/>
            <w:rFonts w:ascii="Times New Roman" w:hAnsi="Times New Roman" w:cs="Times New Roman"/>
            <w:sz w:val="24"/>
            <w:szCs w:val="24"/>
            <w:u w:val="none"/>
            <w:shd w:val="clear" w:color="auto" w:fill="FFFFFF"/>
          </w:rPr>
          <w:t>Thông tư 19/2021/TT-BTC</w:t>
        </w:r>
      </w:hyperlink>
      <w:r w:rsidR="00B9337C" w:rsidRPr="0070435A">
        <w:rPr>
          <w:rFonts w:ascii="Times New Roman" w:hAnsi="Times New Roman" w:cs="Times New Roman"/>
          <w:color w:val="333333"/>
          <w:sz w:val="24"/>
          <w:szCs w:val="24"/>
          <w:shd w:val="clear" w:color="auto" w:fill="FFFFFF"/>
        </w:rPr>
        <w:t> </w:t>
      </w:r>
      <w:r w:rsidR="00B9337C" w:rsidRPr="0070435A">
        <w:rPr>
          <w:rFonts w:ascii="Times New Roman" w:hAnsi="Times New Roman" w:cs="Times New Roman"/>
          <w:b/>
          <w:bCs/>
          <w:color w:val="333333"/>
          <w:sz w:val="24"/>
          <w:szCs w:val="24"/>
          <w:shd w:val="clear" w:color="auto" w:fill="FFFFFF"/>
        </w:rPr>
        <w:t>có hiệu lực từ ngày 03/5/2021</w:t>
      </w:r>
      <w:r w:rsidR="00B9337C" w:rsidRPr="0070435A">
        <w:rPr>
          <w:rFonts w:ascii="Times New Roman" w:hAnsi="Times New Roman" w:cs="Times New Roman"/>
          <w:color w:val="333333"/>
          <w:sz w:val="24"/>
          <w:szCs w:val="24"/>
          <w:shd w:val="clear" w:color="auto" w:fill="FFFFFF"/>
        </w:rPr>
        <w:t xml:space="preserve"> và thay thế </w:t>
      </w:r>
      <w:hyperlink r:id="rId8" w:tgtFrame="_blank" w:history="1">
        <w:r w:rsidR="00B9337C" w:rsidRPr="0070435A">
          <w:rPr>
            <w:rStyle w:val="Siuktni"/>
            <w:rFonts w:ascii="Times New Roman" w:hAnsi="Times New Roman" w:cs="Times New Roman"/>
            <w:sz w:val="24"/>
            <w:szCs w:val="24"/>
            <w:u w:val="none"/>
            <w:shd w:val="clear" w:color="auto" w:fill="FFFFFF"/>
          </w:rPr>
          <w:t>Thông tư 110/2015/TT-BTC</w:t>
        </w:r>
      </w:hyperlink>
      <w:r w:rsidR="00B9337C" w:rsidRPr="0070435A">
        <w:rPr>
          <w:rFonts w:ascii="Times New Roman" w:hAnsi="Times New Roman" w:cs="Times New Roman"/>
          <w:color w:val="333333"/>
          <w:sz w:val="24"/>
          <w:szCs w:val="24"/>
          <w:shd w:val="clear" w:color="auto" w:fill="FFFFFF"/>
        </w:rPr>
        <w:t> và </w:t>
      </w:r>
      <w:hyperlink r:id="rId9" w:tgtFrame="_blank" w:history="1">
        <w:r w:rsidR="00B9337C" w:rsidRPr="0070435A">
          <w:rPr>
            <w:rStyle w:val="Siuktni"/>
            <w:rFonts w:ascii="Times New Roman" w:hAnsi="Times New Roman" w:cs="Times New Roman"/>
            <w:sz w:val="24"/>
            <w:szCs w:val="24"/>
            <w:u w:val="none"/>
            <w:shd w:val="clear" w:color="auto" w:fill="FFFFFF"/>
          </w:rPr>
          <w:t>Thông tư 66/2019/TT-BTC</w:t>
        </w:r>
      </w:hyperlink>
      <w:r w:rsidR="00B9337C" w:rsidRPr="0070435A">
        <w:rPr>
          <w:rFonts w:ascii="Times New Roman" w:hAnsi="Times New Roman" w:cs="Times New Roman"/>
          <w:color w:val="333333"/>
          <w:sz w:val="24"/>
          <w:szCs w:val="24"/>
          <w:shd w:val="clear" w:color="auto" w:fill="FFFFFF"/>
        </w:rPr>
        <w:t>.</w:t>
      </w:r>
    </w:p>
    <w:p w14:paraId="52FC2F4C" w14:textId="19483B07" w:rsidR="00B9337C" w:rsidRPr="0070435A" w:rsidRDefault="00B9337C" w:rsidP="00E06BDE">
      <w:pPr>
        <w:spacing w:line="360" w:lineRule="auto"/>
        <w:jc w:val="right"/>
        <w:rPr>
          <w:rFonts w:ascii="Times New Roman" w:hAnsi="Times New Roman" w:cs="Times New Roman"/>
          <w:i/>
          <w:iCs/>
          <w:sz w:val="24"/>
          <w:szCs w:val="24"/>
        </w:rPr>
      </w:pPr>
      <w:r w:rsidRPr="0070435A">
        <w:rPr>
          <w:rFonts w:ascii="Times New Roman" w:hAnsi="Times New Roman" w:cs="Times New Roman"/>
          <w:i/>
          <w:iCs/>
          <w:color w:val="333333"/>
          <w:sz w:val="24"/>
          <w:szCs w:val="24"/>
          <w:shd w:val="clear" w:color="auto" w:fill="FFFFFF"/>
        </w:rPr>
        <w:t>Nguồn: Thư viện Pháp luật</w:t>
      </w:r>
    </w:p>
    <w:sectPr w:rsidR="00B9337C" w:rsidRPr="0070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357"/>
    <w:multiLevelType w:val="hybridMultilevel"/>
    <w:tmpl w:val="E036F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56EA0"/>
    <w:multiLevelType w:val="hybridMultilevel"/>
    <w:tmpl w:val="8C869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46FE"/>
    <w:multiLevelType w:val="hybridMultilevel"/>
    <w:tmpl w:val="E006F10C"/>
    <w:lvl w:ilvl="0" w:tplc="EB90B4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1C4651"/>
    <w:multiLevelType w:val="multilevel"/>
    <w:tmpl w:val="958E1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3F2B91"/>
    <w:multiLevelType w:val="multilevel"/>
    <w:tmpl w:val="205E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2E57A5"/>
    <w:multiLevelType w:val="multilevel"/>
    <w:tmpl w:val="3B14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C846EA"/>
    <w:multiLevelType w:val="hybridMultilevel"/>
    <w:tmpl w:val="7F5C8A82"/>
    <w:lvl w:ilvl="0" w:tplc="20829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1F"/>
    <w:rsid w:val="001D0E2F"/>
    <w:rsid w:val="0070435A"/>
    <w:rsid w:val="0075781F"/>
    <w:rsid w:val="009C6B4A"/>
    <w:rsid w:val="009C78BF"/>
    <w:rsid w:val="00A37825"/>
    <w:rsid w:val="00B9337C"/>
    <w:rsid w:val="00E06BDE"/>
    <w:rsid w:val="00EF797E"/>
    <w:rsid w:val="00F9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89AD"/>
  <w15:chartTrackingRefBased/>
  <w15:docId w15:val="{93BDD3D5-1326-4893-A9C7-6EED7B09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link w:val="u2Char"/>
    <w:uiPriority w:val="9"/>
    <w:qFormat/>
    <w:rsid w:val="00B93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B9337C"/>
    <w:rPr>
      <w:rFonts w:ascii="Times New Roman" w:eastAsia="Times New Roman" w:hAnsi="Times New Roman" w:cs="Times New Roman"/>
      <w:b/>
      <w:bCs/>
      <w:sz w:val="36"/>
      <w:szCs w:val="36"/>
    </w:rPr>
  </w:style>
  <w:style w:type="character" w:styleId="Siuktni">
    <w:name w:val="Hyperlink"/>
    <w:basedOn w:val="Phngmcinhcuaoanvn"/>
    <w:uiPriority w:val="99"/>
    <w:semiHidden/>
    <w:unhideWhenUsed/>
    <w:rsid w:val="00B9337C"/>
    <w:rPr>
      <w:color w:val="0000FF"/>
      <w:u w:val="single"/>
    </w:rPr>
  </w:style>
  <w:style w:type="paragraph" w:styleId="ThngthngWeb">
    <w:name w:val="Normal (Web)"/>
    <w:basedOn w:val="Binhthng"/>
    <w:uiPriority w:val="99"/>
    <w:unhideWhenUsed/>
    <w:rsid w:val="00B9337C"/>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B9337C"/>
    <w:rPr>
      <w:b/>
      <w:bCs/>
    </w:rPr>
  </w:style>
  <w:style w:type="paragraph" w:styleId="oancuaDanhsach">
    <w:name w:val="List Paragraph"/>
    <w:basedOn w:val="Binhthng"/>
    <w:uiPriority w:val="34"/>
    <w:qFormat/>
    <w:rsid w:val="00EF7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95023">
      <w:bodyDiv w:val="1"/>
      <w:marLeft w:val="0"/>
      <w:marRight w:val="0"/>
      <w:marTop w:val="0"/>
      <w:marBottom w:val="0"/>
      <w:divBdr>
        <w:top w:val="none" w:sz="0" w:space="0" w:color="auto"/>
        <w:left w:val="none" w:sz="0" w:space="0" w:color="auto"/>
        <w:bottom w:val="none" w:sz="0" w:space="0" w:color="auto"/>
        <w:right w:val="none" w:sz="0" w:space="0" w:color="auto"/>
      </w:divBdr>
    </w:div>
    <w:div w:id="1123301850">
      <w:bodyDiv w:val="1"/>
      <w:marLeft w:val="0"/>
      <w:marRight w:val="0"/>
      <w:marTop w:val="0"/>
      <w:marBottom w:val="0"/>
      <w:divBdr>
        <w:top w:val="none" w:sz="0" w:space="0" w:color="auto"/>
        <w:left w:val="none" w:sz="0" w:space="0" w:color="auto"/>
        <w:bottom w:val="none" w:sz="0" w:space="0" w:color="auto"/>
        <w:right w:val="none" w:sz="0" w:space="0" w:color="auto"/>
      </w:divBdr>
    </w:div>
    <w:div w:id="17743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110-2015-TT-BTC-huong-dan-giao-dich-dien-tu-trong-linh-vuc-thue-284180.aspx" TargetMode="External"/><Relationship Id="rId3" Type="http://schemas.openxmlformats.org/officeDocument/2006/relationships/styles" Target="styles.xml"/><Relationship Id="rId7" Type="http://schemas.openxmlformats.org/officeDocument/2006/relationships/hyperlink" Target="https://thuvienphapluat.vn/van-ban/Thue-Phi-Le-Phi/Thong-tu-19-2021-TT-BTC-huong-dan-giao-dich-dien-tu-trong-linh-vuc-thue-469068.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uvienphapluat.vn/van-ban/Thue-Phi-Le-Phi/Thong-tu-19-2021-TT-BTC-huong-dan-giao-dich-dien-tu-trong-linh-vuc-thue-469068.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Thue-Phi-Le-Phi/Thong-tu-66-2019-TT-BTC-sua-doi-Thong-tu-110-2015-TT-BTC-giao-dich-dien-tu-linh-vuc-thue-42634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0F0E-02DE-4F69-B322-1E0E7203037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nhan nguyen huynh</dc:creator>
  <cp:keywords/>
  <dc:description/>
  <cp:lastModifiedBy>H P</cp:lastModifiedBy>
  <cp:revision>2</cp:revision>
  <dcterms:created xsi:type="dcterms:W3CDTF">2021-07-09T12:36:00Z</dcterms:created>
  <dcterms:modified xsi:type="dcterms:W3CDTF">2021-07-09T12:36:00Z</dcterms:modified>
</cp:coreProperties>
</file>